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9BA2" w14:textId="6548AE36" w:rsidR="00234360" w:rsidRPr="004713BC" w:rsidRDefault="004713BC">
      <w:pPr>
        <w:rPr>
          <w:sz w:val="40"/>
          <w:szCs w:val="40"/>
        </w:rPr>
      </w:pPr>
      <w:r w:rsidRPr="004713BC">
        <w:rPr>
          <w:sz w:val="40"/>
          <w:szCs w:val="40"/>
        </w:rPr>
        <w:t>Full Annual Accounts for Y/E 2020 to follow</w:t>
      </w:r>
    </w:p>
    <w:sectPr w:rsidR="00234360" w:rsidRPr="00471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BC"/>
    <w:rsid w:val="00234360"/>
    <w:rsid w:val="004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4154"/>
  <w15:chartTrackingRefBased/>
  <w15:docId w15:val="{6F244A3F-4FFE-4523-BECA-CEE6B079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Edmonds</dc:creator>
  <cp:keywords/>
  <dc:description/>
  <cp:lastModifiedBy>Martin Edmonds</cp:lastModifiedBy>
  <cp:revision>1</cp:revision>
  <dcterms:created xsi:type="dcterms:W3CDTF">2020-08-13T09:44:00Z</dcterms:created>
  <dcterms:modified xsi:type="dcterms:W3CDTF">2020-08-13T09:51:00Z</dcterms:modified>
</cp:coreProperties>
</file>